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AE965" w14:textId="77777777" w:rsidR="00B74AE8" w:rsidRPr="00064DC3" w:rsidRDefault="00953670" w:rsidP="00B37EC6">
      <w:pPr>
        <w:rPr>
          <w:rFonts w:ascii="Calibri" w:hAnsi="Calibri" w:cs="Calibri"/>
          <w:b/>
          <w:color w:val="286990"/>
          <w:sz w:val="32"/>
          <w:szCs w:val="30"/>
        </w:rPr>
      </w:pPr>
      <w:r>
        <w:rPr>
          <w:rFonts w:ascii="Calibri" w:hAnsi="Calibri" w:cs="Calibri"/>
          <w:b/>
          <w:color w:val="286990"/>
          <w:sz w:val="32"/>
          <w:szCs w:val="30"/>
        </w:rPr>
        <w:t>Northern Lights</w:t>
      </w:r>
      <w:r w:rsidR="005F560B" w:rsidRPr="00064DC3">
        <w:rPr>
          <w:rFonts w:ascii="Calibri" w:hAnsi="Calibri" w:cs="Calibri"/>
          <w:b/>
          <w:color w:val="286990"/>
          <w:sz w:val="32"/>
          <w:szCs w:val="30"/>
        </w:rPr>
        <w:t xml:space="preserve"> Project Information</w:t>
      </w:r>
    </w:p>
    <w:p w14:paraId="4AB8B11D" w14:textId="77777777" w:rsidR="00D921A6" w:rsidRDefault="00D921A6" w:rsidP="00B37EC6">
      <w:pPr>
        <w:rPr>
          <w:rFonts w:ascii="Calibri Light" w:hAnsi="Calibri Light" w:cs="Calibri Light"/>
          <w:b/>
          <w:color w:val="286990"/>
        </w:rPr>
      </w:pPr>
    </w:p>
    <w:p w14:paraId="2A6F952E" w14:textId="2E944448" w:rsidR="00064DC3" w:rsidRPr="001E5218" w:rsidRDefault="005F560B" w:rsidP="00064DC3">
      <w:pPr>
        <w:rPr>
          <w:rFonts w:ascii="Calibri Light" w:hAnsi="Calibri Light" w:cs="Calibri Light"/>
          <w:b/>
          <w:color w:val="286990"/>
          <w:sz w:val="22"/>
          <w:szCs w:val="22"/>
        </w:rPr>
      </w:pPr>
      <w:r w:rsidRPr="001E5218">
        <w:rPr>
          <w:rFonts w:ascii="Calibri Light" w:hAnsi="Calibri Light" w:cs="Calibri Light"/>
          <w:b/>
          <w:color w:val="286990"/>
          <w:sz w:val="22"/>
          <w:szCs w:val="22"/>
        </w:rPr>
        <w:t xml:space="preserve">Project </w:t>
      </w:r>
      <w:r w:rsidR="003B3F1F" w:rsidRPr="001E5218">
        <w:rPr>
          <w:rFonts w:ascii="Calibri Light" w:hAnsi="Calibri Light" w:cs="Calibri Light"/>
          <w:b/>
          <w:color w:val="286990"/>
          <w:sz w:val="22"/>
          <w:szCs w:val="22"/>
        </w:rPr>
        <w:t>Developer</w:t>
      </w:r>
      <w:r w:rsidR="00F27753">
        <w:rPr>
          <w:rFonts w:ascii="Calibri Light" w:hAnsi="Calibri Light" w:cs="Calibri Light"/>
          <w:b/>
          <w:color w:val="286990"/>
          <w:sz w:val="22"/>
          <w:szCs w:val="22"/>
        </w:rPr>
        <w:t xml:space="preserve"> </w:t>
      </w:r>
      <w:r w:rsidR="00064DC3" w:rsidRPr="001E5218">
        <w:rPr>
          <w:rFonts w:ascii="Calibri Light" w:hAnsi="Calibri Light" w:cs="Calibri Light"/>
          <w:b/>
          <w:color w:val="286990"/>
          <w:sz w:val="22"/>
          <w:szCs w:val="22"/>
        </w:rPr>
        <w:t>Website</w:t>
      </w:r>
    </w:p>
    <w:p w14:paraId="7B37D36B" w14:textId="47B2EE30" w:rsidR="00F27753" w:rsidRDefault="003D58CE" w:rsidP="00064DC3">
      <w:pPr>
        <w:rPr>
          <w:sz w:val="22"/>
          <w:szCs w:val="22"/>
        </w:rPr>
      </w:pPr>
      <w:r>
        <w:rPr>
          <w:sz w:val="22"/>
          <w:szCs w:val="22"/>
        </w:rPr>
        <w:t xml:space="preserve">Northern Lights </w:t>
      </w:r>
    </w:p>
    <w:p w14:paraId="3668724B" w14:textId="54B0B7A6" w:rsidR="00F27753" w:rsidRDefault="00F27753" w:rsidP="0023406A">
      <w:pPr>
        <w:jc w:val="both"/>
        <w:rPr>
          <w:sz w:val="22"/>
          <w:szCs w:val="22"/>
        </w:rPr>
      </w:pPr>
      <w:r w:rsidRPr="00F27753">
        <w:rPr>
          <w:sz w:val="22"/>
          <w:szCs w:val="22"/>
        </w:rPr>
        <w:t>A collaboration agreement between Equinor, Shell and Total governs the study and execution preparation work and the preparations for establishing a Joint Venture Agreement</w:t>
      </w:r>
      <w:r>
        <w:rPr>
          <w:sz w:val="22"/>
          <w:szCs w:val="22"/>
        </w:rPr>
        <w:t>.</w:t>
      </w:r>
    </w:p>
    <w:p w14:paraId="15BAD1EA" w14:textId="5BCCF6A5" w:rsidR="00064DC3" w:rsidRPr="001E5218" w:rsidRDefault="0042181B" w:rsidP="00064DC3">
      <w:pPr>
        <w:rPr>
          <w:sz w:val="22"/>
          <w:szCs w:val="22"/>
        </w:rPr>
      </w:pPr>
      <w:hyperlink r:id="rId11" w:history="1">
        <w:r w:rsidR="00F27753" w:rsidRPr="003C6A2C">
          <w:rPr>
            <w:rStyle w:val="Hyperlink"/>
            <w:sz w:val="22"/>
            <w:szCs w:val="22"/>
          </w:rPr>
          <w:t>https://northernlightsccs.eu/</w:t>
        </w:r>
      </w:hyperlink>
      <w:r w:rsidR="003A16CD" w:rsidRPr="00F27753" w:rsidDel="003A16CD">
        <w:rPr>
          <w:sz w:val="20"/>
          <w:szCs w:val="20"/>
        </w:rPr>
        <w:t xml:space="preserve"> </w:t>
      </w:r>
    </w:p>
    <w:p w14:paraId="3B13CD6F" w14:textId="77777777" w:rsidR="005F560B" w:rsidRPr="001E5218" w:rsidRDefault="00064DC3" w:rsidP="005F560B">
      <w:pPr>
        <w:rPr>
          <w:rFonts w:ascii="Calibri Light" w:hAnsi="Calibri Light" w:cs="Calibri Light"/>
          <w:b/>
          <w:color w:val="286990"/>
          <w:sz w:val="22"/>
          <w:szCs w:val="22"/>
        </w:rPr>
      </w:pPr>
      <w:r w:rsidRPr="001E5218">
        <w:rPr>
          <w:rFonts w:ascii="Calibri Light" w:hAnsi="Calibri Light" w:cs="Calibri Light"/>
          <w:b/>
          <w:color w:val="286990"/>
          <w:sz w:val="22"/>
          <w:szCs w:val="22"/>
        </w:rPr>
        <w:tab/>
      </w:r>
      <w:r w:rsidRPr="001E5218">
        <w:rPr>
          <w:rFonts w:ascii="Calibri Light" w:hAnsi="Calibri Light" w:cs="Calibri Light"/>
          <w:b/>
          <w:color w:val="286990"/>
          <w:sz w:val="22"/>
          <w:szCs w:val="22"/>
        </w:rPr>
        <w:tab/>
      </w:r>
      <w:r w:rsidRPr="001E5218">
        <w:rPr>
          <w:rFonts w:ascii="Calibri Light" w:hAnsi="Calibri Light" w:cs="Calibri Light"/>
          <w:b/>
          <w:color w:val="286990"/>
          <w:sz w:val="22"/>
          <w:szCs w:val="22"/>
        </w:rPr>
        <w:tab/>
      </w:r>
      <w:r w:rsidRPr="001E5218">
        <w:rPr>
          <w:rFonts w:ascii="Calibri Light" w:hAnsi="Calibri Light" w:cs="Calibri Light"/>
          <w:b/>
          <w:color w:val="286990"/>
          <w:sz w:val="22"/>
          <w:szCs w:val="22"/>
        </w:rPr>
        <w:tab/>
      </w:r>
    </w:p>
    <w:p w14:paraId="01BCE37C" w14:textId="77777777" w:rsidR="005F560B" w:rsidRPr="001E5218" w:rsidRDefault="005F560B" w:rsidP="005F560B">
      <w:pPr>
        <w:rPr>
          <w:rFonts w:ascii="Calibri Light" w:hAnsi="Calibri Light" w:cs="Calibri Light"/>
          <w:b/>
          <w:color w:val="286990"/>
          <w:sz w:val="22"/>
          <w:szCs w:val="22"/>
        </w:rPr>
      </w:pPr>
      <w:r w:rsidRPr="001E5218">
        <w:rPr>
          <w:rFonts w:ascii="Calibri Light" w:hAnsi="Calibri Light" w:cs="Calibri Light"/>
          <w:b/>
          <w:color w:val="286990"/>
          <w:sz w:val="22"/>
          <w:szCs w:val="22"/>
        </w:rPr>
        <w:t>Project Location</w:t>
      </w:r>
    </w:p>
    <w:p w14:paraId="466FBC73" w14:textId="3608D665" w:rsidR="005F560B" w:rsidRPr="001E5218" w:rsidRDefault="003A16CD" w:rsidP="005F560B">
      <w:pPr>
        <w:rPr>
          <w:sz w:val="22"/>
          <w:szCs w:val="22"/>
        </w:rPr>
      </w:pPr>
      <w:r>
        <w:rPr>
          <w:sz w:val="22"/>
          <w:szCs w:val="22"/>
        </w:rPr>
        <w:t>Naturgassparken, Norway</w:t>
      </w:r>
    </w:p>
    <w:p w14:paraId="479D6EA8" w14:textId="77777777" w:rsidR="003B3F1F" w:rsidRPr="001E5218" w:rsidRDefault="003B3F1F" w:rsidP="005F560B">
      <w:pPr>
        <w:rPr>
          <w:sz w:val="22"/>
          <w:szCs w:val="22"/>
        </w:rPr>
      </w:pPr>
    </w:p>
    <w:p w14:paraId="7DAAFC91" w14:textId="77777777" w:rsidR="003B3F1F" w:rsidRPr="001E5218" w:rsidRDefault="001E5218" w:rsidP="005F560B">
      <w:pPr>
        <w:rPr>
          <w:rFonts w:ascii="Calibri Light" w:hAnsi="Calibri Light" w:cs="Calibri Light"/>
          <w:b/>
          <w:color w:val="286990"/>
          <w:sz w:val="22"/>
          <w:szCs w:val="22"/>
        </w:rPr>
      </w:pPr>
      <w:r w:rsidRPr="001E5218">
        <w:rPr>
          <w:rFonts w:ascii="Calibri Light" w:hAnsi="Calibri Light" w:cs="Calibri Light"/>
          <w:b/>
          <w:color w:val="286990"/>
          <w:sz w:val="22"/>
          <w:szCs w:val="22"/>
        </w:rPr>
        <w:t>Project Type</w:t>
      </w:r>
    </w:p>
    <w:p w14:paraId="23A84934" w14:textId="77777777" w:rsidR="003B3F1F" w:rsidRPr="001E5218" w:rsidRDefault="001E5218" w:rsidP="005F560B">
      <w:pPr>
        <w:rPr>
          <w:sz w:val="22"/>
          <w:szCs w:val="22"/>
        </w:rPr>
      </w:pPr>
      <w:r w:rsidRPr="001E5218">
        <w:rPr>
          <w:sz w:val="22"/>
          <w:szCs w:val="22"/>
        </w:rPr>
        <w:t>Transport and Storage</w:t>
      </w:r>
    </w:p>
    <w:p w14:paraId="0A0D138E" w14:textId="77777777" w:rsidR="00064DC3" w:rsidRPr="001E5218" w:rsidRDefault="00064DC3" w:rsidP="005F560B">
      <w:pPr>
        <w:rPr>
          <w:sz w:val="22"/>
          <w:szCs w:val="22"/>
        </w:rPr>
      </w:pPr>
    </w:p>
    <w:p w14:paraId="32B3E2E3" w14:textId="77777777" w:rsidR="005F560B" w:rsidRPr="001E5218" w:rsidRDefault="003B3F1F" w:rsidP="005F560B">
      <w:pPr>
        <w:rPr>
          <w:rFonts w:ascii="Calibri" w:hAnsi="Calibri" w:cs="Calibri"/>
          <w:b/>
          <w:color w:val="286990"/>
          <w:sz w:val="22"/>
          <w:szCs w:val="22"/>
        </w:rPr>
      </w:pPr>
      <w:r w:rsidRPr="001E5218">
        <w:rPr>
          <w:rFonts w:ascii="Calibri" w:hAnsi="Calibri" w:cs="Calibri"/>
          <w:b/>
          <w:color w:val="286990"/>
          <w:sz w:val="22"/>
          <w:szCs w:val="22"/>
        </w:rPr>
        <w:t>Project Description</w:t>
      </w:r>
    </w:p>
    <w:p w14:paraId="562D96B3" w14:textId="6CBEB149" w:rsidR="0041224B" w:rsidRDefault="00953670" w:rsidP="009D1681">
      <w:pPr>
        <w:jc w:val="both"/>
        <w:rPr>
          <w:sz w:val="22"/>
          <w:szCs w:val="22"/>
        </w:rPr>
      </w:pPr>
      <w:r w:rsidRPr="001E5218">
        <w:rPr>
          <w:sz w:val="22"/>
          <w:szCs w:val="22"/>
        </w:rPr>
        <w:t>The Northern Lights proje</w:t>
      </w:r>
      <w:r w:rsidR="001E5218">
        <w:rPr>
          <w:sz w:val="22"/>
          <w:szCs w:val="22"/>
        </w:rPr>
        <w:t xml:space="preserve">ct comprises the transport and storage part </w:t>
      </w:r>
      <w:r w:rsidRPr="001E5218">
        <w:rPr>
          <w:sz w:val="22"/>
          <w:szCs w:val="22"/>
        </w:rPr>
        <w:t xml:space="preserve">of the Norwegian full-scale </w:t>
      </w:r>
      <w:r w:rsidR="00551E39">
        <w:rPr>
          <w:sz w:val="22"/>
          <w:szCs w:val="22"/>
        </w:rPr>
        <w:t>Carbon C</w:t>
      </w:r>
      <w:r w:rsidR="009D1681" w:rsidRPr="009D1681">
        <w:rPr>
          <w:sz w:val="22"/>
          <w:szCs w:val="22"/>
        </w:rPr>
        <w:t xml:space="preserve">apture and </w:t>
      </w:r>
      <w:r w:rsidR="00551E39">
        <w:rPr>
          <w:sz w:val="22"/>
          <w:szCs w:val="22"/>
        </w:rPr>
        <w:t>S</w:t>
      </w:r>
      <w:r w:rsidR="009D1681" w:rsidRPr="009D1681">
        <w:rPr>
          <w:sz w:val="22"/>
          <w:szCs w:val="22"/>
        </w:rPr>
        <w:t>torage (CCS)</w:t>
      </w:r>
      <w:r w:rsidRPr="001E5218">
        <w:rPr>
          <w:sz w:val="22"/>
          <w:szCs w:val="22"/>
        </w:rPr>
        <w:t xml:space="preserve"> project</w:t>
      </w:r>
      <w:r w:rsidR="009D1681">
        <w:rPr>
          <w:sz w:val="22"/>
          <w:szCs w:val="22"/>
        </w:rPr>
        <w:t xml:space="preserve">. </w:t>
      </w:r>
      <w:r w:rsidR="009D1681" w:rsidRPr="009D1681">
        <w:rPr>
          <w:sz w:val="22"/>
          <w:szCs w:val="22"/>
        </w:rPr>
        <w:t>The full-scale project is planned to demonstrate a</w:t>
      </w:r>
      <w:r w:rsidR="009D1681">
        <w:rPr>
          <w:sz w:val="22"/>
          <w:szCs w:val="22"/>
        </w:rPr>
        <w:t xml:space="preserve"> </w:t>
      </w:r>
      <w:r w:rsidR="00235067">
        <w:rPr>
          <w:sz w:val="22"/>
          <w:szCs w:val="22"/>
        </w:rPr>
        <w:t xml:space="preserve">full </w:t>
      </w:r>
      <w:r w:rsidR="009D1681" w:rsidRPr="009D1681">
        <w:rPr>
          <w:sz w:val="22"/>
          <w:szCs w:val="22"/>
        </w:rPr>
        <w:t>CCS value chain with carbon capture at one or two Norwegian industrial facilities, transport of</w:t>
      </w:r>
      <w:r w:rsidR="009D1681">
        <w:rPr>
          <w:sz w:val="22"/>
          <w:szCs w:val="22"/>
        </w:rPr>
        <w:t xml:space="preserve"> </w:t>
      </w:r>
      <w:r w:rsidR="009D1681" w:rsidRPr="009D1681">
        <w:rPr>
          <w:sz w:val="22"/>
          <w:szCs w:val="22"/>
        </w:rPr>
        <w:t xml:space="preserve">CO2 by ship and offshore pipeline, and </w:t>
      </w:r>
      <w:r w:rsidR="00551E39">
        <w:rPr>
          <w:sz w:val="22"/>
          <w:szCs w:val="22"/>
        </w:rPr>
        <w:t xml:space="preserve">permanent </w:t>
      </w:r>
      <w:r w:rsidR="009D1681" w:rsidRPr="009D1681">
        <w:rPr>
          <w:sz w:val="22"/>
          <w:szCs w:val="22"/>
        </w:rPr>
        <w:t xml:space="preserve">CO2 storage in a </w:t>
      </w:r>
      <w:r w:rsidR="009D1681">
        <w:rPr>
          <w:sz w:val="22"/>
          <w:szCs w:val="22"/>
        </w:rPr>
        <w:t xml:space="preserve">North Sea </w:t>
      </w:r>
      <w:r w:rsidR="009D1681" w:rsidRPr="009D1681">
        <w:rPr>
          <w:sz w:val="22"/>
          <w:szCs w:val="22"/>
        </w:rPr>
        <w:t>saline aquifer.</w:t>
      </w:r>
      <w:r w:rsidR="009D1681" w:rsidRPr="009D1681" w:rsidDel="009D1681">
        <w:rPr>
          <w:sz w:val="22"/>
          <w:szCs w:val="22"/>
        </w:rPr>
        <w:t xml:space="preserve"> </w:t>
      </w:r>
      <w:r w:rsidR="0041224B" w:rsidRPr="0041224B">
        <w:rPr>
          <w:sz w:val="22"/>
          <w:szCs w:val="22"/>
        </w:rPr>
        <w:t xml:space="preserve">Once the CO2 has been collected by the Northern Lights partnership, it will be transported by ship to a dedicated onshore facility prior to being injected and safely stored in </w:t>
      </w:r>
      <w:r w:rsidR="00551E39">
        <w:rPr>
          <w:sz w:val="22"/>
          <w:szCs w:val="22"/>
        </w:rPr>
        <w:t>a</w:t>
      </w:r>
      <w:r w:rsidR="0041224B" w:rsidRPr="0041224B">
        <w:rPr>
          <w:sz w:val="22"/>
          <w:szCs w:val="22"/>
        </w:rPr>
        <w:t xml:space="preserve"> North Sea reservoir</w:t>
      </w:r>
      <w:r w:rsidR="00B00432">
        <w:rPr>
          <w:sz w:val="22"/>
          <w:szCs w:val="22"/>
        </w:rPr>
        <w:t>. G</w:t>
      </w:r>
      <w:r w:rsidR="00B00432" w:rsidRPr="00B00432">
        <w:rPr>
          <w:sz w:val="22"/>
          <w:szCs w:val="22"/>
        </w:rPr>
        <w:t xml:space="preserve">eological surveys and </w:t>
      </w:r>
      <w:r w:rsidR="00B00432">
        <w:rPr>
          <w:sz w:val="22"/>
          <w:szCs w:val="22"/>
        </w:rPr>
        <w:t>drilling operations have</w:t>
      </w:r>
      <w:r w:rsidR="00B00432" w:rsidRPr="00B00432">
        <w:rPr>
          <w:sz w:val="22"/>
          <w:szCs w:val="22"/>
        </w:rPr>
        <w:t xml:space="preserve"> confirmed the presence of a suitable storage reservoir </w:t>
      </w:r>
      <w:r w:rsidR="00551E39" w:rsidRPr="00B00432">
        <w:rPr>
          <w:sz w:val="22"/>
          <w:szCs w:val="22"/>
        </w:rPr>
        <w:t xml:space="preserve">110 kilometres off the Norwegian coast </w:t>
      </w:r>
      <w:r w:rsidR="00551E39">
        <w:rPr>
          <w:sz w:val="22"/>
          <w:szCs w:val="22"/>
        </w:rPr>
        <w:t xml:space="preserve">and </w:t>
      </w:r>
      <w:r w:rsidR="00B00432" w:rsidRPr="00B00432">
        <w:rPr>
          <w:sz w:val="22"/>
          <w:szCs w:val="22"/>
        </w:rPr>
        <w:t>over 3,000 metres beneath the surface</w:t>
      </w:r>
      <w:r w:rsidR="00F27753">
        <w:rPr>
          <w:sz w:val="22"/>
          <w:szCs w:val="22"/>
        </w:rPr>
        <w:t xml:space="preserve">. </w:t>
      </w:r>
      <w:r w:rsidR="0041224B" w:rsidRPr="0041224B">
        <w:rPr>
          <w:sz w:val="22"/>
          <w:szCs w:val="22"/>
        </w:rPr>
        <w:t xml:space="preserve">The initial </w:t>
      </w:r>
      <w:r w:rsidR="00B00432">
        <w:rPr>
          <w:sz w:val="22"/>
          <w:szCs w:val="22"/>
        </w:rPr>
        <w:t xml:space="preserve">storage </w:t>
      </w:r>
      <w:r w:rsidR="0041224B" w:rsidRPr="0041224B">
        <w:rPr>
          <w:sz w:val="22"/>
          <w:szCs w:val="22"/>
        </w:rPr>
        <w:t xml:space="preserve">capacity </w:t>
      </w:r>
      <w:r w:rsidR="00B00432">
        <w:rPr>
          <w:sz w:val="22"/>
          <w:szCs w:val="22"/>
        </w:rPr>
        <w:t xml:space="preserve">will </w:t>
      </w:r>
      <w:r w:rsidR="0041224B" w:rsidRPr="0041224B">
        <w:rPr>
          <w:sz w:val="22"/>
          <w:szCs w:val="22"/>
        </w:rPr>
        <w:t>be 1.5 million metric tons of CO2 per year, but plans exist to increase the capacity to 5 million tons per annum with additional phases of development, and an increasing customer base.</w:t>
      </w:r>
    </w:p>
    <w:p w14:paraId="6AA43EC5" w14:textId="77777777" w:rsidR="0023406A" w:rsidRPr="0041224B" w:rsidRDefault="0023406A" w:rsidP="009D1681">
      <w:pPr>
        <w:jc w:val="both"/>
        <w:rPr>
          <w:sz w:val="22"/>
          <w:szCs w:val="22"/>
        </w:rPr>
      </w:pPr>
    </w:p>
    <w:p w14:paraId="3A13F010" w14:textId="5A656F96" w:rsidR="003B3F1F" w:rsidRPr="001E5218" w:rsidRDefault="0041224B" w:rsidP="0041224B">
      <w:pPr>
        <w:jc w:val="both"/>
        <w:rPr>
          <w:sz w:val="22"/>
          <w:szCs w:val="22"/>
        </w:rPr>
      </w:pPr>
      <w:r w:rsidRPr="0041224B">
        <w:rPr>
          <w:sz w:val="22"/>
          <w:szCs w:val="22"/>
        </w:rPr>
        <w:t xml:space="preserve">The concept provides industrial emitters from across Europe an opportunity to permanently store their CO2 safely underground. </w:t>
      </w:r>
      <w:r w:rsidR="008E0079">
        <w:rPr>
          <w:sz w:val="22"/>
          <w:szCs w:val="22"/>
        </w:rPr>
        <w:t xml:space="preserve">The project has been awarded </w:t>
      </w:r>
      <w:r w:rsidR="00551E39">
        <w:rPr>
          <w:sz w:val="22"/>
          <w:szCs w:val="22"/>
        </w:rPr>
        <w:t>status as a European Project of Common Interest</w:t>
      </w:r>
      <w:r w:rsidR="003D58CE">
        <w:rPr>
          <w:sz w:val="22"/>
          <w:szCs w:val="22"/>
        </w:rPr>
        <w:t xml:space="preserve"> (PCI)</w:t>
      </w:r>
      <w:r w:rsidR="008E0079">
        <w:rPr>
          <w:sz w:val="22"/>
          <w:szCs w:val="22"/>
        </w:rPr>
        <w:t xml:space="preserve">. </w:t>
      </w:r>
    </w:p>
    <w:p w14:paraId="29ED683C" w14:textId="77777777" w:rsidR="00953670" w:rsidRPr="001E5218" w:rsidRDefault="00953670" w:rsidP="003B3F1F">
      <w:pPr>
        <w:jc w:val="both"/>
        <w:rPr>
          <w:sz w:val="22"/>
          <w:szCs w:val="22"/>
        </w:rPr>
      </w:pPr>
    </w:p>
    <w:p w14:paraId="13C49825" w14:textId="77777777" w:rsidR="001E5218" w:rsidRPr="001E5218" w:rsidRDefault="001E5218" w:rsidP="001E5218">
      <w:pPr>
        <w:rPr>
          <w:rFonts w:ascii="Calibri Light" w:hAnsi="Calibri Light" w:cs="Calibri Light"/>
          <w:b/>
          <w:color w:val="286990"/>
          <w:sz w:val="22"/>
          <w:szCs w:val="22"/>
        </w:rPr>
      </w:pPr>
      <w:r w:rsidRPr="001E5218">
        <w:rPr>
          <w:rFonts w:ascii="Calibri Light" w:hAnsi="Calibri Light" w:cs="Calibri Light"/>
          <w:b/>
          <w:color w:val="286990"/>
          <w:sz w:val="22"/>
          <w:szCs w:val="22"/>
        </w:rPr>
        <w:t xml:space="preserve">Operational Status </w:t>
      </w:r>
    </w:p>
    <w:p w14:paraId="780D8ED1" w14:textId="77777777" w:rsidR="001E5218" w:rsidRDefault="001E5218" w:rsidP="0023406A">
      <w:pPr>
        <w:jc w:val="both"/>
        <w:rPr>
          <w:sz w:val="22"/>
          <w:szCs w:val="22"/>
        </w:rPr>
      </w:pPr>
      <w:r w:rsidRPr="001E5218">
        <w:rPr>
          <w:sz w:val="22"/>
          <w:szCs w:val="22"/>
        </w:rPr>
        <w:t>Design &amp; Engineering Phase</w:t>
      </w:r>
    </w:p>
    <w:p w14:paraId="3B2CDDCA" w14:textId="493DE254" w:rsidR="001E5218" w:rsidRPr="001E5218" w:rsidRDefault="00551E39" w:rsidP="0023406A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E5218">
        <w:rPr>
          <w:sz w:val="22"/>
          <w:szCs w:val="22"/>
        </w:rPr>
        <w:t>torage permit secured and FEED studies c</w:t>
      </w:r>
      <w:r w:rsidR="00DD1D6F">
        <w:rPr>
          <w:sz w:val="22"/>
          <w:szCs w:val="22"/>
        </w:rPr>
        <w:t xml:space="preserve">ompleted. </w:t>
      </w:r>
      <w:r w:rsidR="001E5218">
        <w:rPr>
          <w:sz w:val="22"/>
          <w:szCs w:val="22"/>
        </w:rPr>
        <w:t xml:space="preserve"> </w:t>
      </w:r>
    </w:p>
    <w:p w14:paraId="43455D95" w14:textId="36E7724A" w:rsidR="00DD1D6F" w:rsidRPr="003A16CD" w:rsidRDefault="006723C1" w:rsidP="0023406A">
      <w:pPr>
        <w:jc w:val="both"/>
        <w:rPr>
          <w:sz w:val="22"/>
          <w:szCs w:val="22"/>
        </w:rPr>
      </w:pPr>
      <w:r>
        <w:rPr>
          <w:sz w:val="22"/>
          <w:szCs w:val="22"/>
        </w:rPr>
        <w:t>Drilling of a</w:t>
      </w:r>
      <w:r w:rsidR="00DD1D6F">
        <w:rPr>
          <w:sz w:val="22"/>
          <w:szCs w:val="22"/>
        </w:rPr>
        <w:t xml:space="preserve"> confirmation well was completed </w:t>
      </w:r>
      <w:r w:rsidR="00DD1D6F" w:rsidRPr="003A16CD">
        <w:rPr>
          <w:sz w:val="22"/>
          <w:szCs w:val="22"/>
        </w:rPr>
        <w:t>March 5</w:t>
      </w:r>
      <w:r w:rsidR="00DD1D6F" w:rsidRPr="00F27753">
        <w:rPr>
          <w:sz w:val="22"/>
          <w:szCs w:val="22"/>
          <w:vertAlign w:val="superscript"/>
        </w:rPr>
        <w:t>th</w:t>
      </w:r>
      <w:r w:rsidR="00DD1D6F" w:rsidRPr="003A16CD">
        <w:rPr>
          <w:sz w:val="22"/>
          <w:szCs w:val="22"/>
        </w:rPr>
        <w:t xml:space="preserve"> 2020,</w:t>
      </w:r>
      <w:r w:rsidR="003A16CD" w:rsidRPr="003A16CD">
        <w:rPr>
          <w:sz w:val="22"/>
          <w:szCs w:val="22"/>
        </w:rPr>
        <w:t xml:space="preserve"> with </w:t>
      </w:r>
      <w:hyperlink r:id="rId12" w:history="1">
        <w:r w:rsidR="003A16CD" w:rsidRPr="00F27753">
          <w:rPr>
            <w:rStyle w:val="Hyperlink"/>
            <w:sz w:val="22"/>
            <w:szCs w:val="22"/>
          </w:rPr>
          <w:t>promising results</w:t>
        </w:r>
      </w:hyperlink>
      <w:r w:rsidR="003A16CD" w:rsidRPr="003A16CD">
        <w:rPr>
          <w:sz w:val="22"/>
          <w:szCs w:val="22"/>
        </w:rPr>
        <w:t xml:space="preserve">. </w:t>
      </w:r>
    </w:p>
    <w:p w14:paraId="5723F6BE" w14:textId="562434AE" w:rsidR="003A16CD" w:rsidRPr="003A16CD" w:rsidRDefault="003A16CD" w:rsidP="0023406A">
      <w:pPr>
        <w:jc w:val="both"/>
        <w:rPr>
          <w:sz w:val="22"/>
          <w:szCs w:val="22"/>
        </w:rPr>
      </w:pPr>
      <w:r w:rsidRPr="003A16CD">
        <w:rPr>
          <w:sz w:val="22"/>
          <w:szCs w:val="22"/>
        </w:rPr>
        <w:t xml:space="preserve">Conditional investment decision </w:t>
      </w:r>
      <w:hyperlink r:id="rId13" w:history="1">
        <w:r w:rsidRPr="00F27753">
          <w:rPr>
            <w:rStyle w:val="Hyperlink"/>
            <w:sz w:val="22"/>
            <w:szCs w:val="22"/>
          </w:rPr>
          <w:t>taken by Northern Lights partners Equinor, Shell and Total on May 15</w:t>
        </w:r>
        <w:r w:rsidRPr="00F27753">
          <w:rPr>
            <w:rStyle w:val="Hyperlink"/>
            <w:sz w:val="22"/>
            <w:szCs w:val="22"/>
            <w:vertAlign w:val="superscript"/>
          </w:rPr>
          <w:t>th</w:t>
        </w:r>
        <w:r w:rsidR="006723C1">
          <w:rPr>
            <w:rStyle w:val="Hyperlink"/>
            <w:sz w:val="22"/>
            <w:szCs w:val="22"/>
          </w:rPr>
          <w:t xml:space="preserve"> </w:t>
        </w:r>
        <w:r w:rsidRPr="00F27753">
          <w:rPr>
            <w:rStyle w:val="Hyperlink"/>
            <w:sz w:val="22"/>
            <w:szCs w:val="22"/>
          </w:rPr>
          <w:t>2020</w:t>
        </w:r>
      </w:hyperlink>
      <w:r>
        <w:rPr>
          <w:sz w:val="22"/>
          <w:szCs w:val="22"/>
        </w:rPr>
        <w:t xml:space="preserve">. </w:t>
      </w:r>
      <w:r w:rsidR="006723C1">
        <w:rPr>
          <w:sz w:val="22"/>
          <w:szCs w:val="22"/>
        </w:rPr>
        <w:t>F</w:t>
      </w:r>
      <w:r>
        <w:rPr>
          <w:sz w:val="22"/>
          <w:szCs w:val="22"/>
        </w:rPr>
        <w:t xml:space="preserve">inal investment decision expected by the Norwegian Government </w:t>
      </w:r>
      <w:r w:rsidR="006723C1">
        <w:rPr>
          <w:sz w:val="22"/>
          <w:szCs w:val="22"/>
        </w:rPr>
        <w:t>by</w:t>
      </w:r>
      <w:r>
        <w:rPr>
          <w:sz w:val="22"/>
          <w:szCs w:val="22"/>
        </w:rPr>
        <w:t xml:space="preserve"> December 2020. </w:t>
      </w:r>
    </w:p>
    <w:p w14:paraId="19BDBA28" w14:textId="3A08F225" w:rsidR="001E5218" w:rsidRPr="001E5218" w:rsidRDefault="00235067" w:rsidP="0023406A">
      <w:pPr>
        <w:jc w:val="both"/>
        <w:rPr>
          <w:sz w:val="22"/>
          <w:szCs w:val="22"/>
        </w:rPr>
      </w:pPr>
      <w:r>
        <w:rPr>
          <w:sz w:val="22"/>
          <w:szCs w:val="22"/>
        </w:rPr>
        <w:t>Planned start-up early 2024</w:t>
      </w:r>
      <w:r w:rsidR="0023406A">
        <w:rPr>
          <w:sz w:val="22"/>
          <w:szCs w:val="22"/>
        </w:rPr>
        <w:t>.</w:t>
      </w:r>
    </w:p>
    <w:p w14:paraId="1E9B4FEC" w14:textId="77777777" w:rsidR="001E5218" w:rsidRPr="001E5218" w:rsidRDefault="001E5218" w:rsidP="001E5218">
      <w:pPr>
        <w:rPr>
          <w:sz w:val="22"/>
          <w:szCs w:val="22"/>
        </w:rPr>
      </w:pPr>
    </w:p>
    <w:p w14:paraId="4755DDD6" w14:textId="77777777" w:rsidR="003B3F1F" w:rsidRPr="001E5218" w:rsidRDefault="003B3F1F" w:rsidP="003B3F1F">
      <w:pPr>
        <w:jc w:val="both"/>
        <w:rPr>
          <w:rFonts w:ascii="Calibri Light" w:hAnsi="Calibri Light" w:cs="Calibri Light"/>
          <w:b/>
          <w:color w:val="286990"/>
          <w:sz w:val="22"/>
          <w:szCs w:val="22"/>
        </w:rPr>
      </w:pPr>
      <w:r w:rsidRPr="001E5218">
        <w:rPr>
          <w:rFonts w:ascii="Calibri Light" w:hAnsi="Calibri Light" w:cs="Calibri Light"/>
          <w:b/>
          <w:color w:val="286990"/>
          <w:sz w:val="22"/>
          <w:szCs w:val="22"/>
        </w:rPr>
        <w:t xml:space="preserve">Technology </w:t>
      </w:r>
      <w:r w:rsidR="001E5218" w:rsidRPr="001E5218">
        <w:rPr>
          <w:rFonts w:ascii="Calibri Light" w:hAnsi="Calibri Light" w:cs="Calibri Light"/>
          <w:b/>
          <w:color w:val="286990"/>
          <w:sz w:val="22"/>
          <w:szCs w:val="22"/>
        </w:rPr>
        <w:t>Description</w:t>
      </w:r>
      <w:r w:rsidRPr="001E5218">
        <w:rPr>
          <w:rFonts w:ascii="Calibri Light" w:hAnsi="Calibri Light" w:cs="Calibri Light"/>
          <w:b/>
          <w:color w:val="286990"/>
          <w:sz w:val="22"/>
          <w:szCs w:val="22"/>
        </w:rPr>
        <w:t xml:space="preserve"> </w:t>
      </w:r>
    </w:p>
    <w:p w14:paraId="0BC972BF" w14:textId="638CE08A" w:rsidR="006723C1" w:rsidRDefault="008E0079" w:rsidP="005411E4">
      <w:pPr>
        <w:jc w:val="both"/>
        <w:rPr>
          <w:sz w:val="22"/>
          <w:szCs w:val="22"/>
        </w:rPr>
      </w:pPr>
      <w:r>
        <w:rPr>
          <w:sz w:val="22"/>
          <w:szCs w:val="22"/>
        </w:rPr>
        <w:t>Transport: one ship per capture site with a capacity of 7500m</w:t>
      </w:r>
      <w:r w:rsidRPr="008E0079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liquid CO</w:t>
      </w:r>
      <w:r w:rsidRPr="008E0079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per ship at 13-18 barg pressure. </w:t>
      </w:r>
      <w:r w:rsidR="006723C1">
        <w:rPr>
          <w:sz w:val="22"/>
          <w:szCs w:val="22"/>
        </w:rPr>
        <w:t>CO</w:t>
      </w:r>
      <w:r w:rsidR="006723C1" w:rsidRPr="0023406A">
        <w:rPr>
          <w:sz w:val="22"/>
          <w:szCs w:val="22"/>
          <w:vertAlign w:val="subscript"/>
        </w:rPr>
        <w:t>2</w:t>
      </w:r>
      <w:r w:rsidR="006723C1">
        <w:rPr>
          <w:sz w:val="22"/>
          <w:szCs w:val="22"/>
        </w:rPr>
        <w:t xml:space="preserve"> to </w:t>
      </w:r>
      <w:r>
        <w:rPr>
          <w:sz w:val="22"/>
          <w:szCs w:val="22"/>
        </w:rPr>
        <w:t xml:space="preserve">be offloaded </w:t>
      </w:r>
      <w:r w:rsidR="006723C1">
        <w:rPr>
          <w:sz w:val="22"/>
          <w:szCs w:val="22"/>
        </w:rPr>
        <w:t xml:space="preserve">at </w:t>
      </w:r>
      <w:r>
        <w:rPr>
          <w:sz w:val="22"/>
          <w:szCs w:val="22"/>
        </w:rPr>
        <w:t>onshore storage tank facilit</w:t>
      </w:r>
      <w:r w:rsidR="006723C1">
        <w:rPr>
          <w:sz w:val="22"/>
          <w:szCs w:val="22"/>
        </w:rPr>
        <w:t xml:space="preserve">y </w:t>
      </w:r>
      <w:r>
        <w:rPr>
          <w:sz w:val="22"/>
          <w:szCs w:val="22"/>
        </w:rPr>
        <w:t xml:space="preserve">ready for pipeline transport to offshore storage site. </w:t>
      </w:r>
    </w:p>
    <w:p w14:paraId="442C310F" w14:textId="4EA7E30A" w:rsidR="008E0079" w:rsidRDefault="008E0079" w:rsidP="005411E4">
      <w:pPr>
        <w:jc w:val="both"/>
        <w:rPr>
          <w:sz w:val="22"/>
          <w:szCs w:val="22"/>
        </w:rPr>
      </w:pPr>
      <w:r>
        <w:rPr>
          <w:sz w:val="22"/>
          <w:szCs w:val="22"/>
        </w:rPr>
        <w:t>Pipeline</w:t>
      </w:r>
      <w:r w:rsidR="006723C1">
        <w:rPr>
          <w:sz w:val="22"/>
          <w:szCs w:val="22"/>
        </w:rPr>
        <w:t xml:space="preserve">: </w:t>
      </w:r>
      <w:r>
        <w:rPr>
          <w:sz w:val="22"/>
          <w:szCs w:val="22"/>
        </w:rPr>
        <w:t>1</w:t>
      </w:r>
      <w:r w:rsidR="006723C1">
        <w:rPr>
          <w:sz w:val="22"/>
          <w:szCs w:val="22"/>
        </w:rPr>
        <w:t>1</w:t>
      </w:r>
      <w:r>
        <w:rPr>
          <w:sz w:val="22"/>
          <w:szCs w:val="22"/>
        </w:rPr>
        <w:t>0km un-insulated carbon steel pipeline</w:t>
      </w:r>
      <w:r w:rsidR="006723C1">
        <w:rPr>
          <w:sz w:val="22"/>
          <w:szCs w:val="22"/>
        </w:rPr>
        <w:t xml:space="preserve"> for </w:t>
      </w:r>
      <w:r>
        <w:rPr>
          <w:sz w:val="22"/>
          <w:szCs w:val="22"/>
        </w:rPr>
        <w:t>transport</w:t>
      </w:r>
      <w:r w:rsidR="006723C1">
        <w:rPr>
          <w:sz w:val="22"/>
          <w:szCs w:val="22"/>
        </w:rPr>
        <w:t xml:space="preserve"> of</w:t>
      </w:r>
      <w:r>
        <w:rPr>
          <w:sz w:val="22"/>
          <w:szCs w:val="22"/>
        </w:rPr>
        <w:t xml:space="preserve"> single-phase liquid CO</w:t>
      </w:r>
      <w:r w:rsidRPr="008E0079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. </w:t>
      </w:r>
    </w:p>
    <w:p w14:paraId="6E62EFE0" w14:textId="78CDF689" w:rsidR="008E0079" w:rsidRDefault="008E0079" w:rsidP="005411E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Storage: </w:t>
      </w:r>
      <w:r w:rsidRPr="008E0079">
        <w:rPr>
          <w:sz w:val="22"/>
          <w:szCs w:val="22"/>
        </w:rPr>
        <w:t xml:space="preserve">Aurora field (Lower Jurassic Johansen Formation) at approximately 3000m depth. </w:t>
      </w:r>
      <w:r w:rsidR="006723C1">
        <w:rPr>
          <w:sz w:val="22"/>
          <w:szCs w:val="22"/>
        </w:rPr>
        <w:t>R</w:t>
      </w:r>
      <w:r w:rsidRPr="008E0079">
        <w:rPr>
          <w:sz w:val="22"/>
          <w:szCs w:val="22"/>
        </w:rPr>
        <w:t>eservoir</w:t>
      </w:r>
      <w:r w:rsidR="006723C1">
        <w:rPr>
          <w:sz w:val="22"/>
          <w:szCs w:val="22"/>
        </w:rPr>
        <w:t xml:space="preserve"> pressure</w:t>
      </w:r>
      <w:r w:rsidRPr="008E0079">
        <w:rPr>
          <w:sz w:val="22"/>
          <w:szCs w:val="22"/>
        </w:rPr>
        <w:t xml:space="preserve"> is hydrostatic at approx</w:t>
      </w:r>
      <w:r w:rsidR="006723C1">
        <w:rPr>
          <w:sz w:val="22"/>
          <w:szCs w:val="22"/>
        </w:rPr>
        <w:t>imately</w:t>
      </w:r>
      <w:r w:rsidRPr="008E0079">
        <w:rPr>
          <w:sz w:val="22"/>
          <w:szCs w:val="22"/>
        </w:rPr>
        <w:t xml:space="preserve"> 250-300 bar</w:t>
      </w:r>
      <w:r>
        <w:rPr>
          <w:sz w:val="22"/>
          <w:szCs w:val="22"/>
        </w:rPr>
        <w:t xml:space="preserve"> and </w:t>
      </w:r>
      <w:r w:rsidRPr="008E0079">
        <w:rPr>
          <w:sz w:val="22"/>
          <w:szCs w:val="22"/>
        </w:rPr>
        <w:t xml:space="preserve">100 °C. </w:t>
      </w:r>
    </w:p>
    <w:p w14:paraId="6BEAF121" w14:textId="77777777" w:rsidR="003B3F1F" w:rsidRPr="001E5218" w:rsidRDefault="003B3F1F" w:rsidP="003B3F1F">
      <w:pPr>
        <w:rPr>
          <w:rFonts w:ascii="Calibri Light" w:hAnsi="Calibri Light" w:cs="Calibri Light"/>
          <w:b/>
          <w:color w:val="286990"/>
          <w:sz w:val="22"/>
          <w:szCs w:val="22"/>
        </w:rPr>
      </w:pPr>
    </w:p>
    <w:p w14:paraId="2F3164BE" w14:textId="77777777" w:rsidR="003B3F1F" w:rsidRPr="001E5218" w:rsidRDefault="003B3F1F" w:rsidP="003B3F1F">
      <w:pPr>
        <w:rPr>
          <w:rFonts w:ascii="Calibri Light" w:hAnsi="Calibri Light" w:cs="Calibri Light"/>
          <w:b/>
          <w:color w:val="286990"/>
          <w:sz w:val="22"/>
          <w:szCs w:val="22"/>
        </w:rPr>
      </w:pPr>
      <w:r w:rsidRPr="001E5218">
        <w:rPr>
          <w:rFonts w:ascii="Calibri Light" w:hAnsi="Calibri Light" w:cs="Calibri Light"/>
          <w:b/>
          <w:color w:val="286990"/>
          <w:sz w:val="22"/>
          <w:szCs w:val="22"/>
        </w:rPr>
        <w:t xml:space="preserve">TRL </w:t>
      </w:r>
      <w:r w:rsidR="001E5218" w:rsidRPr="001E5218">
        <w:rPr>
          <w:rFonts w:ascii="Calibri Light" w:hAnsi="Calibri Light" w:cs="Calibri Light"/>
          <w:b/>
          <w:color w:val="286990"/>
          <w:sz w:val="22"/>
          <w:szCs w:val="22"/>
        </w:rPr>
        <w:t>P</w:t>
      </w:r>
      <w:r w:rsidRPr="001E5218">
        <w:rPr>
          <w:rFonts w:ascii="Calibri Light" w:hAnsi="Calibri Light" w:cs="Calibri Light"/>
          <w:b/>
          <w:color w:val="286990"/>
          <w:sz w:val="22"/>
          <w:szCs w:val="22"/>
        </w:rPr>
        <w:t xml:space="preserve">rogression </w:t>
      </w:r>
    </w:p>
    <w:p w14:paraId="14F29A47" w14:textId="77777777" w:rsidR="00953670" w:rsidRPr="001E5218" w:rsidRDefault="003B3F1F" w:rsidP="003B3F1F">
      <w:pPr>
        <w:rPr>
          <w:sz w:val="22"/>
          <w:szCs w:val="22"/>
        </w:rPr>
      </w:pPr>
      <w:r w:rsidRPr="001E5218">
        <w:rPr>
          <w:sz w:val="22"/>
          <w:szCs w:val="22"/>
        </w:rPr>
        <w:t>Starting</w:t>
      </w:r>
      <w:r w:rsidR="001E5218" w:rsidRPr="001E5218">
        <w:rPr>
          <w:sz w:val="22"/>
          <w:szCs w:val="22"/>
        </w:rPr>
        <w:t>:</w:t>
      </w:r>
      <w:r w:rsidRPr="001E5218">
        <w:rPr>
          <w:sz w:val="22"/>
          <w:szCs w:val="22"/>
        </w:rPr>
        <w:t xml:space="preserve"> </w:t>
      </w:r>
      <w:r w:rsidR="00953670" w:rsidRPr="001E5218">
        <w:rPr>
          <w:sz w:val="22"/>
          <w:szCs w:val="22"/>
        </w:rPr>
        <w:t>TRL 7</w:t>
      </w:r>
    </w:p>
    <w:p w14:paraId="3A1553AF" w14:textId="77777777" w:rsidR="003B3F1F" w:rsidRPr="001E5218" w:rsidRDefault="00953670" w:rsidP="003B3F1F">
      <w:pPr>
        <w:rPr>
          <w:sz w:val="22"/>
          <w:szCs w:val="22"/>
        </w:rPr>
      </w:pPr>
      <w:r w:rsidRPr="001E5218">
        <w:rPr>
          <w:sz w:val="22"/>
          <w:szCs w:val="22"/>
        </w:rPr>
        <w:t>Target</w:t>
      </w:r>
      <w:r w:rsidR="001E5218" w:rsidRPr="001E5218">
        <w:rPr>
          <w:sz w:val="22"/>
          <w:szCs w:val="22"/>
        </w:rPr>
        <w:t>:</w:t>
      </w:r>
      <w:r w:rsidRPr="001E5218">
        <w:rPr>
          <w:sz w:val="22"/>
          <w:szCs w:val="22"/>
        </w:rPr>
        <w:t xml:space="preserve"> TRL 9</w:t>
      </w:r>
      <w:r w:rsidR="003B3F1F" w:rsidRPr="001E5218">
        <w:rPr>
          <w:sz w:val="22"/>
          <w:szCs w:val="22"/>
        </w:rPr>
        <w:t xml:space="preserve"> </w:t>
      </w:r>
    </w:p>
    <w:p w14:paraId="5F383BC3" w14:textId="77777777" w:rsidR="003B3F1F" w:rsidRPr="001E5218" w:rsidRDefault="003B3F1F" w:rsidP="003B3F1F">
      <w:pPr>
        <w:rPr>
          <w:rFonts w:ascii="Calibri Light" w:hAnsi="Calibri Light" w:cs="Calibri Light"/>
          <w:b/>
          <w:color w:val="286990"/>
          <w:sz w:val="22"/>
          <w:szCs w:val="22"/>
        </w:rPr>
      </w:pPr>
    </w:p>
    <w:p w14:paraId="0B5983DB" w14:textId="77777777" w:rsidR="003B3F1F" w:rsidRPr="001E5218" w:rsidRDefault="003B3F1F" w:rsidP="003B3F1F">
      <w:pPr>
        <w:rPr>
          <w:rFonts w:ascii="Calibri Light" w:hAnsi="Calibri Light" w:cs="Calibri Light"/>
          <w:b/>
          <w:color w:val="286990"/>
          <w:sz w:val="22"/>
          <w:szCs w:val="22"/>
        </w:rPr>
      </w:pPr>
      <w:r w:rsidRPr="001E5218">
        <w:rPr>
          <w:rFonts w:ascii="Calibri Light" w:hAnsi="Calibri Light" w:cs="Calibri Light"/>
          <w:b/>
          <w:color w:val="286990"/>
          <w:sz w:val="22"/>
          <w:szCs w:val="22"/>
        </w:rPr>
        <w:t>CO</w:t>
      </w:r>
      <w:r w:rsidRPr="001E5218">
        <w:rPr>
          <w:rFonts w:ascii="Calibri Light" w:hAnsi="Calibri Light" w:cs="Calibri Light"/>
          <w:b/>
          <w:color w:val="286990"/>
          <w:sz w:val="22"/>
          <w:szCs w:val="22"/>
          <w:vertAlign w:val="subscript"/>
        </w:rPr>
        <w:t>2</w:t>
      </w:r>
      <w:r w:rsidRPr="001E5218">
        <w:rPr>
          <w:rFonts w:ascii="Calibri Light" w:hAnsi="Calibri Light" w:cs="Calibri Light"/>
          <w:b/>
          <w:color w:val="286990"/>
          <w:sz w:val="22"/>
          <w:szCs w:val="22"/>
        </w:rPr>
        <w:t xml:space="preserve"> </w:t>
      </w:r>
      <w:r w:rsidR="001E5218" w:rsidRPr="001E5218">
        <w:rPr>
          <w:rFonts w:ascii="Calibri Light" w:hAnsi="Calibri Light" w:cs="Calibri Light"/>
          <w:b/>
          <w:color w:val="286990"/>
          <w:sz w:val="22"/>
          <w:szCs w:val="22"/>
        </w:rPr>
        <w:t>R</w:t>
      </w:r>
      <w:r w:rsidRPr="001E5218">
        <w:rPr>
          <w:rFonts w:ascii="Calibri Light" w:hAnsi="Calibri Light" w:cs="Calibri Light"/>
          <w:b/>
          <w:color w:val="286990"/>
          <w:sz w:val="22"/>
          <w:szCs w:val="22"/>
        </w:rPr>
        <w:t xml:space="preserve">eduction </w:t>
      </w:r>
      <w:r w:rsidR="001E5218" w:rsidRPr="001E5218">
        <w:rPr>
          <w:rFonts w:ascii="Calibri Light" w:hAnsi="Calibri Light" w:cs="Calibri Light"/>
          <w:b/>
          <w:color w:val="286990"/>
          <w:sz w:val="22"/>
          <w:szCs w:val="22"/>
        </w:rPr>
        <w:t>P</w:t>
      </w:r>
      <w:r w:rsidRPr="001E5218">
        <w:rPr>
          <w:rFonts w:ascii="Calibri Light" w:hAnsi="Calibri Light" w:cs="Calibri Light"/>
          <w:b/>
          <w:color w:val="286990"/>
          <w:sz w:val="22"/>
          <w:szCs w:val="22"/>
        </w:rPr>
        <w:t xml:space="preserve">otential </w:t>
      </w:r>
    </w:p>
    <w:p w14:paraId="04241E23" w14:textId="632057F3" w:rsidR="003B3F1F" w:rsidRDefault="001E5218" w:rsidP="0023406A">
      <w:pPr>
        <w:jc w:val="both"/>
        <w:rPr>
          <w:sz w:val="22"/>
          <w:szCs w:val="22"/>
          <w:vertAlign w:val="subscript"/>
        </w:rPr>
      </w:pPr>
      <w:r w:rsidRPr="001E5218">
        <w:rPr>
          <w:sz w:val="22"/>
          <w:szCs w:val="22"/>
        </w:rPr>
        <w:t>Storage</w:t>
      </w:r>
      <w:r w:rsidR="008E0079">
        <w:rPr>
          <w:sz w:val="22"/>
          <w:szCs w:val="22"/>
        </w:rPr>
        <w:t xml:space="preserve"> reservoir</w:t>
      </w:r>
      <w:r w:rsidRPr="001E5218">
        <w:rPr>
          <w:sz w:val="22"/>
          <w:szCs w:val="22"/>
        </w:rPr>
        <w:t xml:space="preserve"> c</w:t>
      </w:r>
      <w:r w:rsidR="00064DC3" w:rsidRPr="001E5218">
        <w:rPr>
          <w:sz w:val="22"/>
          <w:szCs w:val="22"/>
        </w:rPr>
        <w:t xml:space="preserve">apacity: </w:t>
      </w:r>
      <w:r w:rsidR="008E0079" w:rsidRPr="008E0079">
        <w:rPr>
          <w:sz w:val="22"/>
          <w:szCs w:val="22"/>
        </w:rPr>
        <w:t xml:space="preserve">The design assumption </w:t>
      </w:r>
      <w:r w:rsidR="002D7EB4">
        <w:rPr>
          <w:sz w:val="22"/>
          <w:szCs w:val="22"/>
        </w:rPr>
        <w:t>is</w:t>
      </w:r>
      <w:r w:rsidR="008E0079" w:rsidRPr="008E0079">
        <w:rPr>
          <w:sz w:val="22"/>
          <w:szCs w:val="22"/>
        </w:rPr>
        <w:t xml:space="preserve"> that each well will have a capacity of around 1.5 </w:t>
      </w:r>
      <w:r w:rsidR="0023406A">
        <w:rPr>
          <w:sz w:val="22"/>
          <w:szCs w:val="22"/>
        </w:rPr>
        <w:t>million tons per annum</w:t>
      </w:r>
      <w:r w:rsidR="0023406A">
        <w:rPr>
          <w:sz w:val="22"/>
          <w:szCs w:val="22"/>
        </w:rPr>
        <w:t xml:space="preserve"> (Mtpa)</w:t>
      </w:r>
      <w:bookmarkStart w:id="0" w:name="_GoBack"/>
      <w:bookmarkEnd w:id="0"/>
      <w:r w:rsidR="008E0079" w:rsidRPr="008E0079">
        <w:rPr>
          <w:sz w:val="22"/>
          <w:szCs w:val="22"/>
        </w:rPr>
        <w:t xml:space="preserve"> of CO</w:t>
      </w:r>
      <w:r w:rsidR="008E0079" w:rsidRPr="008E0079">
        <w:rPr>
          <w:sz w:val="22"/>
          <w:szCs w:val="22"/>
          <w:vertAlign w:val="subscript"/>
        </w:rPr>
        <w:t>2</w:t>
      </w:r>
      <w:r w:rsidR="008E0079">
        <w:rPr>
          <w:sz w:val="22"/>
          <w:szCs w:val="22"/>
          <w:vertAlign w:val="subscript"/>
        </w:rPr>
        <w:t>.</w:t>
      </w:r>
      <w:r w:rsidR="00DD1D6F">
        <w:rPr>
          <w:sz w:val="22"/>
          <w:szCs w:val="22"/>
        </w:rPr>
        <w:t xml:space="preserve"> Phase 1 will be designed for a capacity of 1.5 </w:t>
      </w:r>
      <w:r w:rsidR="0023406A">
        <w:rPr>
          <w:sz w:val="22"/>
          <w:szCs w:val="22"/>
        </w:rPr>
        <w:t>Mtpa</w:t>
      </w:r>
      <w:r w:rsidR="00DD1D6F">
        <w:rPr>
          <w:sz w:val="22"/>
          <w:szCs w:val="22"/>
        </w:rPr>
        <w:t xml:space="preserve">, with an additional 3.5 million tons of annual capacity to be added in Phase 2. The Phase 1 </w:t>
      </w:r>
      <w:r w:rsidR="002D7EB4">
        <w:rPr>
          <w:sz w:val="22"/>
          <w:szCs w:val="22"/>
        </w:rPr>
        <w:t xml:space="preserve">pipeline </w:t>
      </w:r>
      <w:r w:rsidR="00DD1D6F">
        <w:rPr>
          <w:sz w:val="22"/>
          <w:szCs w:val="22"/>
        </w:rPr>
        <w:t>is designed for 5 M</w:t>
      </w:r>
      <w:r w:rsidR="0023406A">
        <w:rPr>
          <w:sz w:val="22"/>
          <w:szCs w:val="22"/>
        </w:rPr>
        <w:t>tpa</w:t>
      </w:r>
      <w:r w:rsidR="003D58CE">
        <w:rPr>
          <w:sz w:val="22"/>
          <w:szCs w:val="22"/>
        </w:rPr>
        <w:t>. U</w:t>
      </w:r>
      <w:r w:rsidR="00DD1D6F">
        <w:rPr>
          <w:sz w:val="22"/>
          <w:szCs w:val="22"/>
        </w:rPr>
        <w:t xml:space="preserve">pscaling to Phase 2 is planned to be modular. </w:t>
      </w:r>
    </w:p>
    <w:p w14:paraId="78A4D351" w14:textId="77777777" w:rsidR="008E0079" w:rsidRPr="008E0079" w:rsidRDefault="008E0079" w:rsidP="0023406A">
      <w:pPr>
        <w:jc w:val="both"/>
        <w:rPr>
          <w:sz w:val="22"/>
          <w:szCs w:val="22"/>
        </w:rPr>
      </w:pPr>
    </w:p>
    <w:p w14:paraId="664BC9E0" w14:textId="77777777" w:rsidR="003B3F1F" w:rsidRPr="001E5218" w:rsidRDefault="001E5218" w:rsidP="0023406A">
      <w:pPr>
        <w:jc w:val="both"/>
        <w:rPr>
          <w:rFonts w:ascii="Calibri" w:hAnsi="Calibri" w:cs="Calibri"/>
          <w:b/>
          <w:color w:val="286990"/>
          <w:sz w:val="22"/>
          <w:szCs w:val="22"/>
        </w:rPr>
      </w:pPr>
      <w:r w:rsidRPr="001E5218">
        <w:rPr>
          <w:rFonts w:ascii="Calibri" w:hAnsi="Calibri" w:cs="Calibri"/>
          <w:b/>
          <w:color w:val="286990"/>
          <w:sz w:val="22"/>
          <w:szCs w:val="22"/>
        </w:rPr>
        <w:t xml:space="preserve">Project Financing </w:t>
      </w:r>
    </w:p>
    <w:p w14:paraId="048C9588" w14:textId="1779BF31" w:rsidR="001E5218" w:rsidRPr="001E5218" w:rsidRDefault="003A16CD" w:rsidP="0023406A">
      <w:pPr>
        <w:jc w:val="both"/>
        <w:rPr>
          <w:sz w:val="22"/>
          <w:szCs w:val="22"/>
        </w:rPr>
      </w:pPr>
      <w:bookmarkStart w:id="1" w:name="_Hlk45783775"/>
      <w:r>
        <w:rPr>
          <w:sz w:val="22"/>
          <w:szCs w:val="22"/>
        </w:rPr>
        <w:t>Phase 1 of Northern Lights is planned to be financed with s</w:t>
      </w:r>
      <w:r w:rsidR="001E5218" w:rsidRPr="001E5218">
        <w:rPr>
          <w:sz w:val="22"/>
          <w:szCs w:val="22"/>
        </w:rPr>
        <w:t>upport from industry partners (</w:t>
      </w:r>
      <w:r w:rsidR="005411E4">
        <w:rPr>
          <w:sz w:val="22"/>
          <w:szCs w:val="22"/>
        </w:rPr>
        <w:t>Shell, Equinor and Total</w:t>
      </w:r>
      <w:r w:rsidR="001E5218" w:rsidRPr="001E5218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235067">
        <w:rPr>
          <w:sz w:val="22"/>
          <w:szCs w:val="22"/>
        </w:rPr>
        <w:t xml:space="preserve">and </w:t>
      </w:r>
      <w:r w:rsidR="005411E4" w:rsidRPr="00F27753">
        <w:rPr>
          <w:sz w:val="22"/>
          <w:szCs w:val="22"/>
        </w:rPr>
        <w:t>the Norwegian</w:t>
      </w:r>
      <w:r w:rsidR="001E5218" w:rsidRPr="00F27753">
        <w:rPr>
          <w:sz w:val="22"/>
          <w:szCs w:val="22"/>
        </w:rPr>
        <w:t xml:space="preserve"> Government</w:t>
      </w:r>
      <w:r w:rsidRPr="00235067">
        <w:rPr>
          <w:sz w:val="22"/>
          <w:szCs w:val="22"/>
        </w:rPr>
        <w:t>. The</w:t>
      </w:r>
      <w:r>
        <w:rPr>
          <w:sz w:val="22"/>
          <w:szCs w:val="22"/>
        </w:rPr>
        <w:t xml:space="preserve"> Northern Lights partners Equinor</w:t>
      </w:r>
      <w:r w:rsidR="003D58CE">
        <w:rPr>
          <w:sz w:val="22"/>
          <w:szCs w:val="22"/>
        </w:rPr>
        <w:t>,</w:t>
      </w:r>
      <w:r>
        <w:rPr>
          <w:sz w:val="22"/>
          <w:szCs w:val="22"/>
        </w:rPr>
        <w:t xml:space="preserve"> Shell and Total have taken conditional investment decision</w:t>
      </w:r>
      <w:r w:rsidR="003D58CE">
        <w:rPr>
          <w:sz w:val="22"/>
          <w:szCs w:val="22"/>
        </w:rPr>
        <w:t>. F</w:t>
      </w:r>
      <w:r>
        <w:rPr>
          <w:sz w:val="22"/>
          <w:szCs w:val="22"/>
        </w:rPr>
        <w:t xml:space="preserve">inal investment decision </w:t>
      </w:r>
      <w:r w:rsidR="003D58CE">
        <w:rPr>
          <w:sz w:val="22"/>
          <w:szCs w:val="22"/>
        </w:rPr>
        <w:t xml:space="preserve">expected </w:t>
      </w:r>
      <w:r>
        <w:rPr>
          <w:sz w:val="22"/>
          <w:szCs w:val="22"/>
        </w:rPr>
        <w:t xml:space="preserve">by the Norwegian Government </w:t>
      </w:r>
      <w:r w:rsidR="003D58CE">
        <w:rPr>
          <w:sz w:val="22"/>
          <w:szCs w:val="22"/>
        </w:rPr>
        <w:t>by</w:t>
      </w:r>
      <w:r>
        <w:rPr>
          <w:sz w:val="22"/>
          <w:szCs w:val="22"/>
        </w:rPr>
        <w:t xml:space="preserve"> December 2020. </w:t>
      </w:r>
    </w:p>
    <w:p w14:paraId="20513F40" w14:textId="4DF59E38" w:rsidR="001E5218" w:rsidRPr="001E5218" w:rsidRDefault="0042181B" w:rsidP="0023406A">
      <w:pPr>
        <w:jc w:val="both"/>
        <w:rPr>
          <w:sz w:val="22"/>
          <w:szCs w:val="22"/>
        </w:rPr>
      </w:pPr>
      <w:hyperlink r:id="rId14" w:history="1">
        <w:r w:rsidR="00F27753" w:rsidRPr="00F27753">
          <w:rPr>
            <w:rStyle w:val="Hyperlink"/>
            <w:sz w:val="22"/>
            <w:szCs w:val="22"/>
          </w:rPr>
          <w:t xml:space="preserve">The initial investments will total almost NOK 6.9 billion. </w:t>
        </w:r>
      </w:hyperlink>
      <w:r w:rsidR="00F27753" w:rsidRPr="001E5218">
        <w:rPr>
          <w:sz w:val="22"/>
          <w:szCs w:val="22"/>
        </w:rPr>
        <w:t xml:space="preserve"> </w:t>
      </w:r>
    </w:p>
    <w:bookmarkEnd w:id="1"/>
    <w:p w14:paraId="67F4409B" w14:textId="61BE93D1" w:rsidR="005F560B" w:rsidRPr="00AF2C76" w:rsidRDefault="003D58CE" w:rsidP="0023406A">
      <w:pPr>
        <w:jc w:val="both"/>
      </w:pPr>
      <w:r>
        <w:t>On July 17</w:t>
      </w:r>
      <w:r w:rsidRPr="00F27753">
        <w:rPr>
          <w:vertAlign w:val="superscript"/>
        </w:rPr>
        <w:t>th</w:t>
      </w:r>
      <w:r>
        <w:t>, t</w:t>
      </w:r>
      <w:r w:rsidR="00881620" w:rsidRPr="00881620">
        <w:t xml:space="preserve">he EFTA Surveillance Authority approved the state aid scheme for the Norwegian Full-Scale CCS project. The approval covers two capture projects, transport and storage with a budget of up to EUR 2.57 billion (NOK 27.6 billion) </w:t>
      </w:r>
      <w:r>
        <w:t xml:space="preserve">for </w:t>
      </w:r>
      <w:r w:rsidR="00881620" w:rsidRPr="00881620">
        <w:t xml:space="preserve">construction and 10 years of operation. The Norwegian government would cover around 80% of the project’s estimated budget. The Norwegian government is now preparing the basis for a final investment decision by the Norwegian Parliament, expected in the 2021 state budget which is to be presented </w:t>
      </w:r>
      <w:r>
        <w:t xml:space="preserve">in </w:t>
      </w:r>
      <w:r w:rsidR="00881620" w:rsidRPr="00881620">
        <w:t xml:space="preserve">October </w:t>
      </w:r>
      <w:r>
        <w:t>and approved</w:t>
      </w:r>
      <w:r w:rsidR="002D7EB4">
        <w:t xml:space="preserve"> by the Norwegian Parliament</w:t>
      </w:r>
      <w:r>
        <w:t xml:space="preserve"> by December </w:t>
      </w:r>
      <w:r w:rsidR="00881620" w:rsidRPr="00881620">
        <w:t>2020.</w:t>
      </w:r>
    </w:p>
    <w:sectPr w:rsidR="005F560B" w:rsidRPr="00AF2C76" w:rsidSect="0095358D">
      <w:headerReference w:type="default" r:id="rId15"/>
      <w:footerReference w:type="default" r:id="rId16"/>
      <w:pgSz w:w="11900" w:h="16840"/>
      <w:pgMar w:top="1440" w:right="1440" w:bottom="567" w:left="1440" w:header="397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B4EE9" w14:textId="77777777" w:rsidR="0042181B" w:rsidRDefault="0042181B" w:rsidP="00B74AE8">
      <w:r>
        <w:separator/>
      </w:r>
    </w:p>
  </w:endnote>
  <w:endnote w:type="continuationSeparator" w:id="0">
    <w:p w14:paraId="1379734B" w14:textId="77777777" w:rsidR="0042181B" w:rsidRDefault="0042181B" w:rsidP="00B7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6"/>
      <w:gridCol w:w="7881"/>
    </w:tblGrid>
    <w:tr w:rsidR="00A611F3" w14:paraId="3DDCCA6A" w14:textId="77777777" w:rsidTr="005E27A1">
      <w:tc>
        <w:tcPr>
          <w:tcW w:w="1129" w:type="dxa"/>
        </w:tcPr>
        <w:p w14:paraId="0D0CB286" w14:textId="77777777" w:rsidR="00A611F3" w:rsidRDefault="005E27A1" w:rsidP="00A611F3">
          <w:pPr>
            <w:pStyle w:val="Footer"/>
          </w:pPr>
          <w:r w:rsidRPr="005E27A1">
            <w:rPr>
              <w:noProof/>
            </w:rPr>
            <w:drawing>
              <wp:inline distT="0" distB="0" distL="0" distR="0" wp14:anchorId="1CF9A8FE" wp14:editId="30D4E6BA">
                <wp:extent cx="555674" cy="375080"/>
                <wp:effectExtent l="12700" t="12700" r="15875" b="19050"/>
                <wp:docPr id="14" name="Pictur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885ED5-2094-A74D-967F-FDE445EE11F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3">
                          <a:extLst>
                            <a:ext uri="{FF2B5EF4-FFF2-40B4-BE49-F238E27FC236}">
                              <a16:creationId xmlns:a16="http://schemas.microsoft.com/office/drawing/2014/main" id="{87885ED5-2094-A74D-967F-FDE445EE11F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651" cy="3818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1" w:type="dxa"/>
        </w:tcPr>
        <w:p w14:paraId="3B29638C" w14:textId="77777777" w:rsidR="00A611F3" w:rsidRPr="00704E69" w:rsidRDefault="00A611F3" w:rsidP="00A611F3">
          <w:pPr>
            <w:pStyle w:val="Footer"/>
            <w:rPr>
              <w:sz w:val="20"/>
              <w:szCs w:val="20"/>
            </w:rPr>
          </w:pPr>
          <w:r w:rsidRPr="00704E69">
            <w:rPr>
              <w:sz w:val="20"/>
              <w:szCs w:val="20"/>
            </w:rPr>
            <w:t xml:space="preserve">This project is financed by the European Commission under service contract </w:t>
          </w:r>
          <w:r w:rsidR="00704E69">
            <w:rPr>
              <w:sz w:val="20"/>
              <w:szCs w:val="20"/>
            </w:rPr>
            <w:br/>
          </w:r>
          <w:r w:rsidRPr="00704E69">
            <w:rPr>
              <w:sz w:val="20"/>
              <w:szCs w:val="20"/>
            </w:rPr>
            <w:t>No ENER/C2/2017-65/SI2.793333.</w:t>
          </w:r>
        </w:p>
      </w:tc>
    </w:tr>
  </w:tbl>
  <w:p w14:paraId="5A4E29E2" w14:textId="77777777" w:rsidR="00A611F3" w:rsidRPr="00C916E7" w:rsidRDefault="00A611F3" w:rsidP="005E27A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AB42A" w14:textId="77777777" w:rsidR="0042181B" w:rsidRDefault="0042181B" w:rsidP="00B74AE8">
      <w:r>
        <w:separator/>
      </w:r>
    </w:p>
  </w:footnote>
  <w:footnote w:type="continuationSeparator" w:id="0">
    <w:p w14:paraId="0AE8E8C9" w14:textId="77777777" w:rsidR="0042181B" w:rsidRDefault="0042181B" w:rsidP="00B74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896"/>
    </w:tblGrid>
    <w:tr w:rsidR="00E37237" w14:paraId="23C2B288" w14:textId="77777777" w:rsidTr="00681D24">
      <w:tc>
        <w:tcPr>
          <w:tcW w:w="3114" w:type="dxa"/>
          <w:vAlign w:val="center"/>
        </w:tcPr>
        <w:p w14:paraId="7F1F288B" w14:textId="77777777" w:rsidR="00E37237" w:rsidRDefault="00E37237" w:rsidP="00681D24">
          <w:pPr>
            <w:pStyle w:val="Header"/>
            <w:jc w:val="center"/>
          </w:pPr>
        </w:p>
      </w:tc>
      <w:tc>
        <w:tcPr>
          <w:tcW w:w="5896" w:type="dxa"/>
          <w:vAlign w:val="center"/>
        </w:tcPr>
        <w:p w14:paraId="69635BB9" w14:textId="77777777" w:rsidR="006224D7" w:rsidRDefault="00704E69" w:rsidP="00681D24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CAC9A90" wp14:editId="14B27330">
                <wp:extent cx="1979369" cy="758758"/>
                <wp:effectExtent l="0" t="0" r="1905" b="381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usnet_landscape_tag_prin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2929" cy="771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47DB93" w14:textId="77777777" w:rsidR="00B74AE8" w:rsidRDefault="00B74A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544C2"/>
    <w:multiLevelType w:val="hybridMultilevel"/>
    <w:tmpl w:val="2A92A9D2"/>
    <w:lvl w:ilvl="0" w:tplc="771E4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AED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75DD9"/>
    <w:multiLevelType w:val="hybridMultilevel"/>
    <w:tmpl w:val="3D02FBBC"/>
    <w:lvl w:ilvl="0" w:tplc="3B1E5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A77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E2835"/>
    <w:multiLevelType w:val="hybridMultilevel"/>
    <w:tmpl w:val="7904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0037F"/>
    <w:multiLevelType w:val="hybridMultilevel"/>
    <w:tmpl w:val="7D326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4420D"/>
    <w:multiLevelType w:val="hybridMultilevel"/>
    <w:tmpl w:val="6FF697FE"/>
    <w:lvl w:ilvl="0" w:tplc="AC1A1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A77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0B"/>
    <w:rsid w:val="00007AB7"/>
    <w:rsid w:val="00011F47"/>
    <w:rsid w:val="0002218D"/>
    <w:rsid w:val="00057606"/>
    <w:rsid w:val="00064DC3"/>
    <w:rsid w:val="00070139"/>
    <w:rsid w:val="000703D7"/>
    <w:rsid w:val="000908D0"/>
    <w:rsid w:val="000D12CA"/>
    <w:rsid w:val="000D2C6D"/>
    <w:rsid w:val="000E419C"/>
    <w:rsid w:val="000F05BD"/>
    <w:rsid w:val="000F306E"/>
    <w:rsid w:val="000F4B4F"/>
    <w:rsid w:val="000F7DD6"/>
    <w:rsid w:val="00120A61"/>
    <w:rsid w:val="0014144D"/>
    <w:rsid w:val="00191BDD"/>
    <w:rsid w:val="00195243"/>
    <w:rsid w:val="001A7195"/>
    <w:rsid w:val="001B1E61"/>
    <w:rsid w:val="001B480D"/>
    <w:rsid w:val="001E5218"/>
    <w:rsid w:val="0023406A"/>
    <w:rsid w:val="00235067"/>
    <w:rsid w:val="00237390"/>
    <w:rsid w:val="00256812"/>
    <w:rsid w:val="00265CE6"/>
    <w:rsid w:val="002A0EFE"/>
    <w:rsid w:val="002A2D99"/>
    <w:rsid w:val="002A52DD"/>
    <w:rsid w:val="002D0E67"/>
    <w:rsid w:val="002D7EB4"/>
    <w:rsid w:val="002F1596"/>
    <w:rsid w:val="00300AC4"/>
    <w:rsid w:val="003310C2"/>
    <w:rsid w:val="0034565C"/>
    <w:rsid w:val="00352317"/>
    <w:rsid w:val="003A16CD"/>
    <w:rsid w:val="003B277C"/>
    <w:rsid w:val="003B3F1F"/>
    <w:rsid w:val="003B49FA"/>
    <w:rsid w:val="003D20B1"/>
    <w:rsid w:val="003D58CE"/>
    <w:rsid w:val="00402238"/>
    <w:rsid w:val="0041224B"/>
    <w:rsid w:val="0041357E"/>
    <w:rsid w:val="0042181B"/>
    <w:rsid w:val="00425AE5"/>
    <w:rsid w:val="00430C67"/>
    <w:rsid w:val="00431F07"/>
    <w:rsid w:val="004336A8"/>
    <w:rsid w:val="004477E0"/>
    <w:rsid w:val="00453500"/>
    <w:rsid w:val="00465B5D"/>
    <w:rsid w:val="004A10A7"/>
    <w:rsid w:val="004A327D"/>
    <w:rsid w:val="004B44AF"/>
    <w:rsid w:val="004E16E9"/>
    <w:rsid w:val="005021DC"/>
    <w:rsid w:val="00502893"/>
    <w:rsid w:val="00507D33"/>
    <w:rsid w:val="005411E4"/>
    <w:rsid w:val="00551E39"/>
    <w:rsid w:val="005569BA"/>
    <w:rsid w:val="005A31FB"/>
    <w:rsid w:val="005A5E23"/>
    <w:rsid w:val="005B39A6"/>
    <w:rsid w:val="005B434F"/>
    <w:rsid w:val="005B606B"/>
    <w:rsid w:val="005D4E17"/>
    <w:rsid w:val="005E27A1"/>
    <w:rsid w:val="005F08BF"/>
    <w:rsid w:val="005F560B"/>
    <w:rsid w:val="005F644E"/>
    <w:rsid w:val="005F704F"/>
    <w:rsid w:val="00617C8E"/>
    <w:rsid w:val="006224D7"/>
    <w:rsid w:val="0063186B"/>
    <w:rsid w:val="006328D5"/>
    <w:rsid w:val="006515E8"/>
    <w:rsid w:val="0066012D"/>
    <w:rsid w:val="006723C1"/>
    <w:rsid w:val="00681D24"/>
    <w:rsid w:val="006826EE"/>
    <w:rsid w:val="00682EB9"/>
    <w:rsid w:val="00696271"/>
    <w:rsid w:val="006E0F7A"/>
    <w:rsid w:val="006E340A"/>
    <w:rsid w:val="00704E69"/>
    <w:rsid w:val="00717963"/>
    <w:rsid w:val="00725999"/>
    <w:rsid w:val="00740682"/>
    <w:rsid w:val="007728E6"/>
    <w:rsid w:val="007A57BC"/>
    <w:rsid w:val="007E3068"/>
    <w:rsid w:val="007F1082"/>
    <w:rsid w:val="008065BF"/>
    <w:rsid w:val="00816338"/>
    <w:rsid w:val="00833C4E"/>
    <w:rsid w:val="0083533D"/>
    <w:rsid w:val="00841873"/>
    <w:rsid w:val="008570CC"/>
    <w:rsid w:val="00880DE0"/>
    <w:rsid w:val="00881620"/>
    <w:rsid w:val="00890F65"/>
    <w:rsid w:val="008A7F80"/>
    <w:rsid w:val="008C60BF"/>
    <w:rsid w:val="008D2974"/>
    <w:rsid w:val="008D56ED"/>
    <w:rsid w:val="008E0079"/>
    <w:rsid w:val="008E76F8"/>
    <w:rsid w:val="008F1A15"/>
    <w:rsid w:val="008F706C"/>
    <w:rsid w:val="00904F51"/>
    <w:rsid w:val="009140FA"/>
    <w:rsid w:val="00917BFB"/>
    <w:rsid w:val="00920093"/>
    <w:rsid w:val="00922745"/>
    <w:rsid w:val="009500E7"/>
    <w:rsid w:val="0095358D"/>
    <w:rsid w:val="00953670"/>
    <w:rsid w:val="00971D77"/>
    <w:rsid w:val="009741FD"/>
    <w:rsid w:val="0098635C"/>
    <w:rsid w:val="009B47E5"/>
    <w:rsid w:val="009C1C0D"/>
    <w:rsid w:val="009D1681"/>
    <w:rsid w:val="009E1076"/>
    <w:rsid w:val="009E4BD4"/>
    <w:rsid w:val="009F28FE"/>
    <w:rsid w:val="00A04E69"/>
    <w:rsid w:val="00A126D4"/>
    <w:rsid w:val="00A47584"/>
    <w:rsid w:val="00A52248"/>
    <w:rsid w:val="00A611F3"/>
    <w:rsid w:val="00A63320"/>
    <w:rsid w:val="00A74A14"/>
    <w:rsid w:val="00A77981"/>
    <w:rsid w:val="00A81C5A"/>
    <w:rsid w:val="00AB638C"/>
    <w:rsid w:val="00AC39DE"/>
    <w:rsid w:val="00AD429C"/>
    <w:rsid w:val="00AD65DF"/>
    <w:rsid w:val="00AF0C9C"/>
    <w:rsid w:val="00AF2C76"/>
    <w:rsid w:val="00B00432"/>
    <w:rsid w:val="00B01E9F"/>
    <w:rsid w:val="00B348E3"/>
    <w:rsid w:val="00B37EC6"/>
    <w:rsid w:val="00B74AE8"/>
    <w:rsid w:val="00B75878"/>
    <w:rsid w:val="00B75DDB"/>
    <w:rsid w:val="00BA03A9"/>
    <w:rsid w:val="00BA4956"/>
    <w:rsid w:val="00BA5821"/>
    <w:rsid w:val="00BA6B85"/>
    <w:rsid w:val="00BC4715"/>
    <w:rsid w:val="00BC5407"/>
    <w:rsid w:val="00BD13A5"/>
    <w:rsid w:val="00BD5A1A"/>
    <w:rsid w:val="00BF3991"/>
    <w:rsid w:val="00BF7574"/>
    <w:rsid w:val="00C53AA9"/>
    <w:rsid w:val="00C87DF6"/>
    <w:rsid w:val="00C916E7"/>
    <w:rsid w:val="00CF553E"/>
    <w:rsid w:val="00D1411F"/>
    <w:rsid w:val="00D57D2E"/>
    <w:rsid w:val="00D841CB"/>
    <w:rsid w:val="00D921A6"/>
    <w:rsid w:val="00DA7997"/>
    <w:rsid w:val="00DC3A8F"/>
    <w:rsid w:val="00DD1D6F"/>
    <w:rsid w:val="00DD3BA4"/>
    <w:rsid w:val="00DE6AAF"/>
    <w:rsid w:val="00DE78D8"/>
    <w:rsid w:val="00DF0EF6"/>
    <w:rsid w:val="00E37237"/>
    <w:rsid w:val="00E41BFE"/>
    <w:rsid w:val="00E42C7C"/>
    <w:rsid w:val="00E47026"/>
    <w:rsid w:val="00E632CC"/>
    <w:rsid w:val="00E82307"/>
    <w:rsid w:val="00E83E0B"/>
    <w:rsid w:val="00EC564F"/>
    <w:rsid w:val="00F022E5"/>
    <w:rsid w:val="00F04AEA"/>
    <w:rsid w:val="00F05602"/>
    <w:rsid w:val="00F27753"/>
    <w:rsid w:val="00F5779C"/>
    <w:rsid w:val="00F60C7E"/>
    <w:rsid w:val="00F84F59"/>
    <w:rsid w:val="00F908D9"/>
    <w:rsid w:val="00F90E5A"/>
    <w:rsid w:val="00FA26F7"/>
    <w:rsid w:val="00FB7BA1"/>
    <w:rsid w:val="00FC7F6A"/>
    <w:rsid w:val="00FD0078"/>
    <w:rsid w:val="00FE0E2C"/>
    <w:rsid w:val="00FE13E9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2F44"/>
  <w14:defaultImageDpi w14:val="32767"/>
  <w15:chartTrackingRefBased/>
  <w15:docId w15:val="{B2991296-DFF3-47A2-816A-35897875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AE8"/>
  </w:style>
  <w:style w:type="paragraph" w:styleId="Footer">
    <w:name w:val="footer"/>
    <w:basedOn w:val="Normal"/>
    <w:link w:val="FooterChar"/>
    <w:uiPriority w:val="99"/>
    <w:unhideWhenUsed/>
    <w:rsid w:val="00B74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AE8"/>
  </w:style>
  <w:style w:type="table" w:styleId="TableGrid">
    <w:name w:val="Table Grid"/>
    <w:basedOn w:val="TableNormal"/>
    <w:uiPriority w:val="39"/>
    <w:rsid w:val="00E37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5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D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D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16C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2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2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2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24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F277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77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quinor.com/en/news/2020-05-northern-lights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gjeringen.no/en/aktuelt/ett-skritt-narmere-et-co2-lager-i-nordsjoen/id2692396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orthernlightsccs.e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quinor.com/en/news/2020-05-northern-lights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croftll\Desktop\CCUS%20Network%20Project%20Information\Acor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355F3E9F4434CA491AB2D08DD5605" ma:contentTypeVersion="16" ma:contentTypeDescription="Create a new document." ma:contentTypeScope="" ma:versionID="f45f023f63b25e389ff4308712f33c35">
  <xsd:schema xmlns:xsd="http://www.w3.org/2001/XMLSchema" xmlns:xs="http://www.w3.org/2001/XMLSchema" xmlns:p="http://schemas.microsoft.com/office/2006/metadata/properties" xmlns:ns3="3237cdb2-3f64-463a-9a95-f0c8836fa414" xmlns:ns4="6f72bee1-8513-41d0-8297-94593847ae79" targetNamespace="http://schemas.microsoft.com/office/2006/metadata/properties" ma:root="true" ma:fieldsID="c54fc2d7215fe19c6f94510b4cd5ad65" ns3:_="" ns4:_="">
    <xsd:import namespace="3237cdb2-3f64-463a-9a95-f0c8836fa414"/>
    <xsd:import namespace="6f72bee1-8513-41d0-8297-94593847ae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7cdb2-3f64-463a-9a95-f0c8836fa4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2bee1-8513-41d0-8297-94593847a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2f74cf1-ae9f-400d-bc52-3bcd3a9e177f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757E73-4C51-43F2-88C9-A51B191500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911FC-B981-4E5D-8504-0A5DF8E81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7cdb2-3f64-463a-9a95-f0c8836fa414"/>
    <ds:schemaRef ds:uri="6f72bee1-8513-41d0-8297-94593847ae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CF9EFE-EB08-43F0-9684-BA211CE3996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D48F694-62B6-4B07-B2D6-41B33B01EE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Acorn.dotx</Template>
  <TotalTime>3</TotalTime>
  <Pages>2</Pages>
  <Words>650</Words>
  <Characters>3609</Characters>
  <Application>Microsoft Office Word</Application>
  <DocSecurity>0</DocSecurity>
  <Lines>75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L.L. Rycroft</dc:creator>
  <cp:keywords/>
  <dc:description/>
  <cp:lastModifiedBy>Rycroft, L.L. (Lydia)</cp:lastModifiedBy>
  <cp:revision>3</cp:revision>
  <dcterms:created xsi:type="dcterms:W3CDTF">2020-08-03T07:51:00Z</dcterms:created>
  <dcterms:modified xsi:type="dcterms:W3CDTF">2020-08-03T07:53:00Z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0x010100DD4355F3E9F4434CA491AB2D08DD5605</vt:lpwstr>
  </property>
</Properties>
</file>